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9" w:rsidRDefault="00A97694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7ECB21" wp14:editId="284394A5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595235" cy="2089150"/>
            <wp:effectExtent l="0" t="0" r="5715" b="6350"/>
            <wp:wrapSquare wrapText="bothSides"/>
            <wp:docPr id="15" name="Afbeelding 15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E9" w:rsidRDefault="004265E9"/>
    <w:p w:rsidR="004265E9" w:rsidRDefault="004265E9"/>
    <w:tbl>
      <w:tblPr>
        <w:tblStyle w:val="Tabelraster"/>
        <w:tblpPr w:leftFromText="141" w:rightFromText="141" w:vertAnchor="text" w:horzAnchor="margin" w:tblpXSpec="center" w:tblpY="-27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A82912" w:rsidTr="00A82912">
        <w:trPr>
          <w:trHeight w:val="261"/>
        </w:trPr>
        <w:tc>
          <w:tcPr>
            <w:tcW w:w="10200" w:type="dxa"/>
          </w:tcPr>
          <w:p w:rsidR="00A82912" w:rsidRDefault="00A82912" w:rsidP="00A82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</w:t>
            </w:r>
          </w:p>
          <w:p w:rsidR="00A82912" w:rsidRPr="004265E9" w:rsidRDefault="00A82912" w:rsidP="00A82912">
            <w:pPr>
              <w:jc w:val="center"/>
              <w:rPr>
                <w:b/>
              </w:rPr>
            </w:pPr>
          </w:p>
        </w:tc>
      </w:tr>
      <w:tr w:rsidR="00A82912" w:rsidTr="00A82912">
        <w:trPr>
          <w:trHeight w:val="261"/>
        </w:trPr>
        <w:tc>
          <w:tcPr>
            <w:tcW w:w="10200" w:type="dxa"/>
          </w:tcPr>
          <w:p w:rsidR="00A82912" w:rsidRPr="00281597" w:rsidRDefault="00A82912" w:rsidP="00A82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597">
              <w:rPr>
                <w:rFonts w:ascii="Arial" w:hAnsi="Arial" w:cs="Arial"/>
                <w:b/>
                <w:sz w:val="22"/>
                <w:szCs w:val="22"/>
              </w:rPr>
              <w:t>Delier in de ouderenpsychiatrie: screening, prevalentie</w:t>
            </w:r>
            <w:r w:rsidR="00A836BF">
              <w:rPr>
                <w:rFonts w:ascii="Arial" w:hAnsi="Arial" w:cs="Arial"/>
                <w:b/>
                <w:sz w:val="22"/>
                <w:szCs w:val="22"/>
              </w:rPr>
              <w:t xml:space="preserve"> en prognose</w:t>
            </w:r>
            <w:bookmarkStart w:id="0" w:name="_GoBack"/>
            <w:bookmarkEnd w:id="0"/>
          </w:p>
          <w:p w:rsidR="00A82912" w:rsidRDefault="00A82912" w:rsidP="00A82912">
            <w:pPr>
              <w:rPr>
                <w:rFonts w:ascii="Arial" w:hAnsi="Arial" w:cs="Arial"/>
              </w:rPr>
            </w:pPr>
          </w:p>
          <w:p w:rsidR="00A82912" w:rsidRPr="00686A7E" w:rsidRDefault="00A82912" w:rsidP="00A82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presentatie zal een </w:t>
            </w:r>
            <w:r w:rsidRPr="004903EE">
              <w:rPr>
                <w:rFonts w:ascii="Arial" w:hAnsi="Arial" w:cs="Arial"/>
              </w:rPr>
              <w:t xml:space="preserve">overzicht </w:t>
            </w:r>
            <w:r>
              <w:rPr>
                <w:rFonts w:ascii="Arial" w:hAnsi="Arial" w:cs="Arial"/>
              </w:rPr>
              <w:t xml:space="preserve">geven </w:t>
            </w:r>
            <w:r w:rsidRPr="004903EE">
              <w:rPr>
                <w:rFonts w:ascii="Arial" w:hAnsi="Arial" w:cs="Arial"/>
              </w:rPr>
              <w:t>van resultaten van delier onderzoek dat gedaan is binnen Parnassia BAVO. Dit betreft</w:t>
            </w:r>
            <w:r>
              <w:rPr>
                <w:rFonts w:ascii="Arial" w:hAnsi="Arial" w:cs="Arial"/>
              </w:rPr>
              <w:t xml:space="preserve"> onder andere</w:t>
            </w:r>
            <w:r w:rsidRPr="004903EE">
              <w:rPr>
                <w:rFonts w:ascii="Arial" w:hAnsi="Arial" w:cs="Arial"/>
              </w:rPr>
              <w:t xml:space="preserve"> screening op delier om herkenning te verbeteren en te versnellen, prevalentie van delier in verschillende settingen binnen de ouderenpsychiatrie, en prognose van delier bij ambulante </w:t>
            </w:r>
            <w:r>
              <w:rPr>
                <w:rFonts w:ascii="Arial" w:hAnsi="Arial" w:cs="Arial"/>
              </w:rPr>
              <w:t xml:space="preserve">patiënten. </w:t>
            </w:r>
            <w:r w:rsidRPr="004903EE">
              <w:rPr>
                <w:rFonts w:ascii="Arial" w:hAnsi="Arial" w:cs="Arial"/>
              </w:rPr>
              <w:t xml:space="preserve">Waar van toepassing zal </w:t>
            </w:r>
            <w:r w:rsidRPr="00686A7E">
              <w:rPr>
                <w:rFonts w:ascii="Arial" w:hAnsi="Arial" w:cs="Arial"/>
              </w:rPr>
              <w:t>aanvullende wetenschappelijke literatuur worden besproken.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</w:p>
          <w:p w:rsidR="00A82912" w:rsidRPr="004903EE" w:rsidRDefault="00A82912" w:rsidP="00A82912">
            <w:pPr>
              <w:rPr>
                <w:rFonts w:ascii="Arial" w:hAnsi="Arial" w:cs="Arial"/>
                <w:b/>
              </w:rPr>
            </w:pPr>
            <w:r w:rsidRPr="004903EE">
              <w:rPr>
                <w:rFonts w:ascii="Arial" w:hAnsi="Arial" w:cs="Arial"/>
                <w:b/>
              </w:rPr>
              <w:t>Programma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 xml:space="preserve">17.00 uur: Opening door dr. Isis Groeneweg-Koolhoven, psychiater 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17:02 Inleiding (DL)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17:10 Verrichte review over screeningsinstrumenten (DQ)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17:30 Onderzoek telefonische mantelzorger vragenlijst (DL)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18:05 Onderzoek delier prevalentie in kliniek (DL)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18:25 Onderzoek delier prognose ambulant (DQ)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18:45 Discussie (DQ en DL)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  <w:r w:rsidRPr="004903EE">
              <w:rPr>
                <w:rFonts w:ascii="Arial" w:hAnsi="Arial" w:cs="Arial"/>
              </w:rPr>
              <w:t>19:00 Afsluiting</w:t>
            </w:r>
          </w:p>
          <w:p w:rsidR="00A82912" w:rsidRPr="004903EE" w:rsidRDefault="00A82912" w:rsidP="00A82912">
            <w:pPr>
              <w:rPr>
                <w:rFonts w:ascii="Arial" w:hAnsi="Arial" w:cs="Arial"/>
              </w:rPr>
            </w:pPr>
          </w:p>
          <w:p w:rsidR="00A82912" w:rsidRDefault="00A82912" w:rsidP="00A82912">
            <w:pPr>
              <w:rPr>
                <w:rFonts w:ascii="Arial" w:hAnsi="Arial" w:cs="Arial"/>
                <w:b/>
              </w:rPr>
            </w:pPr>
            <w:r w:rsidRPr="004903EE">
              <w:rPr>
                <w:rFonts w:ascii="Arial" w:hAnsi="Arial" w:cs="Arial"/>
                <w:b/>
              </w:rPr>
              <w:t>Protocollen/ literatuur</w:t>
            </w:r>
          </w:p>
          <w:p w:rsidR="00A82912" w:rsidRDefault="00A82912" w:rsidP="00A82912">
            <w:pPr>
              <w:rPr>
                <w:rFonts w:ascii="Arial" w:hAnsi="Arial" w:cs="Arial"/>
              </w:rPr>
            </w:pPr>
            <w:r w:rsidRPr="00C42E0D">
              <w:rPr>
                <w:rFonts w:ascii="Arial" w:hAnsi="Arial" w:cs="Arial"/>
              </w:rPr>
              <w:t>NHG- Standaard Delier(eerste herziening 2014)</w:t>
            </w:r>
            <w:r>
              <w:rPr>
                <w:rFonts w:ascii="Arial" w:hAnsi="Arial" w:cs="Arial"/>
              </w:rPr>
              <w:t>. Eizenga WH, Dautzenberg PLJ, Eekhof JAH et all. Huisarts Wet 2014; 57(4). 184-193.</w:t>
            </w:r>
          </w:p>
          <w:p w:rsidR="00A82912" w:rsidRDefault="00A82912" w:rsidP="00A82912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raadplegen op: </w:t>
            </w:r>
            <w:hyperlink r:id="rId6" w:history="1">
              <w:r w:rsidRPr="001665A2">
                <w:rPr>
                  <w:rStyle w:val="Hyperlink"/>
                  <w:rFonts w:ascii="Arial" w:hAnsi="Arial" w:cs="Arial"/>
                </w:rPr>
                <w:t>https://www.nhg.org/standaarden/volledig/nhg-standaard-delier</w:t>
              </w:r>
            </w:hyperlink>
          </w:p>
          <w:p w:rsidR="00A82912" w:rsidRDefault="00A82912" w:rsidP="00A82912">
            <w:pPr>
              <w:rPr>
                <w:rStyle w:val="Hyperlink"/>
                <w:rFonts w:ascii="Arial" w:hAnsi="Arial" w:cs="Arial"/>
              </w:rPr>
            </w:pPr>
          </w:p>
          <w:p w:rsidR="00A82912" w:rsidRDefault="00A82912" w:rsidP="00A82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Nederlandse vereniging voor klinisch geriatrie. (2013). Richtlijn delier. </w:t>
            </w:r>
            <w:hyperlink r:id="rId7" w:history="1">
              <w:r w:rsidRPr="006A6A83">
                <w:rPr>
                  <w:rStyle w:val="Hyperlink"/>
                  <w:rFonts w:ascii="Arial" w:hAnsi="Arial" w:cs="Arial"/>
                </w:rPr>
                <w:t>https://www.richtlijnendatabase.nl/richtlijn/delier_bij_volwassenen/epidemiologie_bij_delier_bij_volwassenen.html</w:t>
              </w:r>
            </w:hyperlink>
            <w:r w:rsidRPr="00553A35">
              <w:rPr>
                <w:rFonts w:ascii="Arial" w:hAnsi="Arial" w:cs="Arial"/>
              </w:rPr>
              <w:t xml:space="preserve"> </w:t>
            </w:r>
          </w:p>
          <w:p w:rsidR="00A82912" w:rsidRPr="00A82912" w:rsidRDefault="00A82912" w:rsidP="00A82912">
            <w:pPr>
              <w:rPr>
                <w:rFonts w:ascii="Arial" w:hAnsi="Arial" w:cs="Arial"/>
                <w:lang w:val="en-US"/>
              </w:rPr>
            </w:pPr>
            <w:r w:rsidRPr="00686A7E">
              <w:rPr>
                <w:rFonts w:ascii="Arial" w:hAnsi="Arial" w:cs="Arial"/>
              </w:rPr>
              <w:t xml:space="preserve">Quispel-Aggenbach, D. W. P., Holtman, G. A., Zwartjes, H. A. H. T., Zuidema, S. U., &amp; Luijendijk, H. J. (2018). </w:t>
            </w:r>
            <w:r w:rsidRPr="00A82912">
              <w:rPr>
                <w:rFonts w:ascii="Arial" w:hAnsi="Arial" w:cs="Arial"/>
                <w:lang w:val="en-US"/>
              </w:rPr>
              <w:t>Attention, arousal and other rapid bedside screening instruments for delirium in older patients: a systematic review of test accuracy studies. Age and Ageing. DOI: 10.1093/ageing/afy058</w:t>
            </w:r>
          </w:p>
          <w:p w:rsidR="00A82912" w:rsidRDefault="00A82912" w:rsidP="00A82912">
            <w:pPr>
              <w:rPr>
                <w:rFonts w:ascii="Arial" w:hAnsi="Arial" w:cs="Arial"/>
              </w:rPr>
            </w:pPr>
            <w:r w:rsidRPr="00A82912">
              <w:rPr>
                <w:rFonts w:ascii="Arial" w:hAnsi="Arial" w:cs="Arial"/>
                <w:lang w:val="en-US"/>
              </w:rPr>
              <w:t xml:space="preserve">Quispel Aggenbach, D.( SP 2013, juli). </w:t>
            </w:r>
            <w:r w:rsidRPr="00686A7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rol van de SPV in goede zorg voor delirante thuiswonende ouderen. Te raadplegen op:</w:t>
            </w:r>
          </w:p>
          <w:p w:rsidR="00A82912" w:rsidRDefault="00A82912" w:rsidP="00A82912">
            <w:pPr>
              <w:rPr>
                <w:rFonts w:ascii="Arial" w:hAnsi="Arial" w:cs="Arial"/>
              </w:rPr>
            </w:pPr>
            <w:r w:rsidRPr="00686A7E">
              <w:rPr>
                <w:rFonts w:ascii="Arial" w:hAnsi="Arial" w:cs="Arial"/>
              </w:rPr>
              <w:t>http://www.venvn-spv.nl/vakblad/sppdf/sp105/hoofd05-sp105.pdf</w:t>
            </w:r>
          </w:p>
          <w:p w:rsidR="00A82912" w:rsidRDefault="00A82912" w:rsidP="00A82912">
            <w:pPr>
              <w:rPr>
                <w:rStyle w:val="Hyperlink"/>
                <w:rFonts w:ascii="Arial" w:hAnsi="Arial" w:cs="Arial"/>
              </w:rPr>
            </w:pPr>
          </w:p>
          <w:p w:rsidR="00A82912" w:rsidRPr="00611CE1" w:rsidRDefault="00A82912" w:rsidP="00A82912">
            <w:pPr>
              <w:rPr>
                <w:rFonts w:ascii="Arial" w:hAnsi="Arial" w:cs="Arial"/>
              </w:rPr>
            </w:pPr>
          </w:p>
          <w:p w:rsidR="00A82912" w:rsidRPr="00611CE1" w:rsidRDefault="00A82912" w:rsidP="00A82912">
            <w:pPr>
              <w:rPr>
                <w:rFonts w:ascii="Arial" w:hAnsi="Arial" w:cs="Arial"/>
              </w:rPr>
            </w:pPr>
          </w:p>
        </w:tc>
      </w:tr>
    </w:tbl>
    <w:p w:rsidR="004265E9" w:rsidRDefault="004265E9" w:rsidP="00A82912"/>
    <w:sectPr w:rsidR="00426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4"/>
    <w:rsid w:val="000B0D97"/>
    <w:rsid w:val="00124065"/>
    <w:rsid w:val="00194D13"/>
    <w:rsid w:val="00281597"/>
    <w:rsid w:val="002C25F8"/>
    <w:rsid w:val="003A56B1"/>
    <w:rsid w:val="004265E9"/>
    <w:rsid w:val="004662F8"/>
    <w:rsid w:val="004971F1"/>
    <w:rsid w:val="005110F8"/>
    <w:rsid w:val="00611CE1"/>
    <w:rsid w:val="00661F34"/>
    <w:rsid w:val="006B13C1"/>
    <w:rsid w:val="00704F10"/>
    <w:rsid w:val="008A3F3D"/>
    <w:rsid w:val="0093715A"/>
    <w:rsid w:val="00990E76"/>
    <w:rsid w:val="009A1254"/>
    <w:rsid w:val="00A82912"/>
    <w:rsid w:val="00A836BF"/>
    <w:rsid w:val="00A97694"/>
    <w:rsid w:val="00B5064B"/>
    <w:rsid w:val="00BF1431"/>
    <w:rsid w:val="00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1431"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1C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1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1431"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1C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1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chtlijnendatabase.nl/richtlijn/delier_bij_volwassenen/epidemiologie_bij_delier_bij_volwassen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g.org/standaarden/volledig/nhg-standaard-deli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Thomassen</dc:creator>
  <cp:lastModifiedBy>20605166</cp:lastModifiedBy>
  <cp:revision>3</cp:revision>
  <dcterms:created xsi:type="dcterms:W3CDTF">2018-09-03T12:21:00Z</dcterms:created>
  <dcterms:modified xsi:type="dcterms:W3CDTF">2018-09-03T12:32:00Z</dcterms:modified>
</cp:coreProperties>
</file>